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12 lutego 2018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</w:t>
      </w:r>
      <w:r>
        <w:rPr>
          <w:b/>
          <w:caps/>
        </w:rPr>
        <w:t>....................</w:t>
      </w:r>
      <w:r>
        <w:rPr>
          <w:b/>
          <w:caps/>
        </w:rPr>
        <w:br/>
      </w:r>
      <w:r>
        <w:rPr>
          <w:b/>
          <w:caps/>
        </w:rPr>
        <w:t>Rady Miejskiej w Sławie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2018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sprawie: zmiany Uchwały Nr XXII/151/12 Rady Miejskiej w Sławie z dnia 26 kwietnia 2012r.w sprawie określenia strefy płatnego parkowania oraz ustalenia wysokości stawek i sposobu pobierania opłat za parkowanie pojazdów samochodowych na parkingach miasta Sławy.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 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 ( t.j. 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1875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późn. zm. ) oraz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b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f 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1985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drogach publicznych ( tj. 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2016r.,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1440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), Rada Miejska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Sławie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§ 6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Uchwały Nr XXII/151/12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Sławie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kwietnia 2012r.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sprawie określenia strefy płatnego parkowania oraz ustalenia wysokości stawek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sposobu pobierania opłat za parkowanie pojazdów samochodowych na parkingach miasta Sławy ( Dz. Urz. Woj. Lub.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2012r. poz.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962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późn. zm. ) otrzymuje nowe brzmienie:</w:t>
      </w:r>
    </w:p>
    <w:p w:rsidR="00A77B3E">
      <w:pPr>
        <w:keepNext w:val="0"/>
        <w:keepLines w:val="0"/>
        <w:spacing w:before="240" w:after="240" w:line="240" w:lineRule="auto"/>
        <w:ind w:left="1417" w:right="0" w:firstLine="142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dodatkowa wynosi 50,00 zł. (słownie: pięćdziesiąt złotych 00/100) a w przypadku jej opłacenia w tym samym dniu lub kolejnym roboczym 20 zł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Sławy.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Lubuskiego.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Sławomir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Mazur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720FF173-D73D-4237-8C5B-CA0FCA9CF855.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sprawie: zmiany Uchwały Nr XXII/151/12 Rady Miejskiej w^Sławie z^dnia 26^kwietnia 2012r.w sprawie określenia strefy płatnego parkowania oraz ustalenia wysokości stawek i^sposobu pobierania opłat za parkowanie pojazdów samochodowych na parkingach miasta Sławy.</dc:subject>
  <dc:creator>RemigiuszB</dc:creator>
  <cp:lastModifiedBy>RemigiuszB</cp:lastModifiedBy>
  <cp:revision>1</cp:revision>
  <dcterms:created xsi:type="dcterms:W3CDTF">2018-02-12T16:08:31Z</dcterms:created>
  <dcterms:modified xsi:type="dcterms:W3CDTF">2018-02-12T16:08:31Z</dcterms:modified>
  <cp:category>Akt prawny</cp:category>
</cp:coreProperties>
</file>